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7A97" w14:textId="77777777" w:rsidR="00BA4D22" w:rsidRDefault="00000000">
      <w:pPr>
        <w:jc w:val="center"/>
        <w:rPr>
          <w:rFonts w:ascii="Roboto" w:eastAsia="Roboto" w:hAnsi="Roboto" w:cs="Roboto"/>
          <w:b/>
          <w:color w:val="1C4587"/>
          <w:sz w:val="24"/>
          <w:szCs w:val="24"/>
        </w:rPr>
      </w:pPr>
      <w:r>
        <w:rPr>
          <w:rFonts w:ascii="Roboto" w:eastAsia="Roboto" w:hAnsi="Roboto" w:cs="Roboto"/>
          <w:b/>
          <w:color w:val="1C4587"/>
          <w:sz w:val="24"/>
          <w:szCs w:val="24"/>
        </w:rPr>
        <w:t>Formulário sobre Conformidade com a Ciência Aberta</w:t>
      </w:r>
    </w:p>
    <w:p w14:paraId="766AEDF6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7F37F7EA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Por meio deste formulário as autorias informam a Revista Brasileira de Sexualidade Humana (RBSH) sobre a conformidade do artigo submetido com as práticas de comunicação da Ciência Aberta. Nesse sentido, solicita-se que informem:</w:t>
      </w:r>
    </w:p>
    <w:p w14:paraId="212ECE76" w14:textId="77777777" w:rsidR="00BA4D22" w:rsidRDefault="00000000">
      <w:pPr>
        <w:ind w:left="720"/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(a) se o artigo submetido é um pré-print e, em caso afirmativo, indique a sua localização;</w:t>
      </w:r>
    </w:p>
    <w:p w14:paraId="1BB3417D" w14:textId="77777777" w:rsidR="00BA4D22" w:rsidRDefault="00000000">
      <w:pPr>
        <w:ind w:left="720"/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(b) se os dados, códigos de programas e outros materiais subjacentes ao texto do artigo submetido estão devidamente citados e referenciados; e</w:t>
      </w:r>
    </w:p>
    <w:p w14:paraId="46E409DD" w14:textId="77777777" w:rsidR="00BA4D22" w:rsidRDefault="00000000">
      <w:pPr>
        <w:ind w:left="720"/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(c) se aceitam opções de abertura no processo de avaliação por pares.</w:t>
      </w:r>
    </w:p>
    <w:p w14:paraId="355B38A1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07984E0F" w14:textId="77777777" w:rsidR="00BA4D22" w:rsidRDefault="00000000">
      <w:pPr>
        <w:jc w:val="both"/>
        <w:rPr>
          <w:rFonts w:ascii="Roboto" w:eastAsia="Roboto" w:hAnsi="Roboto" w:cs="Roboto"/>
          <w:b/>
          <w:color w:val="1C4587"/>
        </w:rPr>
      </w:pPr>
      <w:r>
        <w:rPr>
          <w:rFonts w:ascii="Roboto" w:eastAsia="Roboto" w:hAnsi="Roboto" w:cs="Roboto"/>
          <w:b/>
          <w:color w:val="1C4587"/>
        </w:rPr>
        <w:t>Pré-prints</w:t>
      </w:r>
    </w:p>
    <w:p w14:paraId="78F7598E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 xml:space="preserve">Depósito do artigo submetido em um servidor de pré-prints </w:t>
      </w:r>
      <w:hyperlink r:id="rId6">
        <w:r>
          <w:rPr>
            <w:rFonts w:ascii="Roboto" w:eastAsia="Roboto" w:hAnsi="Roboto" w:cs="Roboto"/>
            <w:color w:val="1C4587"/>
            <w:sz w:val="21"/>
            <w:szCs w:val="21"/>
            <w:u w:val="single"/>
          </w:rPr>
          <w:t>preferencialmente recomendados</w:t>
        </w:r>
      </w:hyperlink>
      <w:r>
        <w:rPr>
          <w:rFonts w:ascii="Roboto" w:eastAsia="Roboto" w:hAnsi="Roboto" w:cs="Roboto"/>
          <w:sz w:val="21"/>
          <w:szCs w:val="21"/>
        </w:rPr>
        <w:t xml:space="preserve"> pela RBSH.</w:t>
      </w:r>
    </w:p>
    <w:p w14:paraId="4433A10F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tbl>
      <w:tblPr>
        <w:tblStyle w:val="a"/>
        <w:tblW w:w="96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8520"/>
      </w:tblGrid>
      <w:tr w:rsidR="00BA4D22" w14:paraId="777F5D3D" w14:textId="77777777">
        <w:trPr>
          <w:trHeight w:val="435"/>
        </w:trPr>
        <w:tc>
          <w:tcPr>
            <w:tcW w:w="9660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9BB0" w14:textId="77777777" w:rsidR="00BA4D22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O artigo submetido é pré-print?</w:t>
            </w:r>
          </w:p>
        </w:tc>
      </w:tr>
      <w:tr w:rsidR="00BA4D22" w14:paraId="625C39A0" w14:textId="77777777">
        <w:trPr>
          <w:trHeight w:val="396"/>
        </w:trPr>
        <w:tc>
          <w:tcPr>
            <w:tcW w:w="1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F71A" w14:textId="77777777" w:rsidR="00BA4D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Sim</w:t>
            </w:r>
          </w:p>
        </w:tc>
        <w:tc>
          <w:tcPr>
            <w:tcW w:w="8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89B7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Nome do servidor de pré-prints: </w:t>
            </w:r>
          </w:p>
        </w:tc>
      </w:tr>
      <w:tr w:rsidR="00BA4D22" w14:paraId="3BE78B67" w14:textId="77777777">
        <w:trPr>
          <w:trHeight w:val="396"/>
        </w:trPr>
        <w:tc>
          <w:tcPr>
            <w:tcW w:w="1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8A9E" w14:textId="77777777" w:rsidR="00BA4D22" w:rsidRDefault="00BA4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8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7A8F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DOI do pré-print:</w:t>
            </w:r>
          </w:p>
        </w:tc>
      </w:tr>
      <w:tr w:rsidR="00BA4D22" w14:paraId="321AE59E" w14:textId="77777777">
        <w:trPr>
          <w:trHeight w:val="396"/>
        </w:trPr>
        <w:tc>
          <w:tcPr>
            <w:tcW w:w="11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BC4E3" w14:textId="77777777" w:rsidR="00BA4D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Não</w:t>
            </w:r>
          </w:p>
        </w:tc>
        <w:tc>
          <w:tcPr>
            <w:tcW w:w="8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0378" w14:textId="77777777" w:rsidR="00BA4D22" w:rsidRDefault="00BA4D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4CE79BC4" w14:textId="77777777" w:rsidR="00BA4D22" w:rsidRDefault="00BA4D22">
      <w:pPr>
        <w:rPr>
          <w:rFonts w:ascii="Roboto" w:eastAsia="Roboto" w:hAnsi="Roboto" w:cs="Roboto"/>
          <w:sz w:val="21"/>
          <w:szCs w:val="21"/>
        </w:rPr>
      </w:pPr>
    </w:p>
    <w:p w14:paraId="6C4F7EF9" w14:textId="77777777" w:rsidR="00BA4D22" w:rsidRDefault="00BA4D22">
      <w:pPr>
        <w:rPr>
          <w:rFonts w:ascii="Roboto" w:eastAsia="Roboto" w:hAnsi="Roboto" w:cs="Roboto"/>
          <w:sz w:val="21"/>
          <w:szCs w:val="21"/>
        </w:rPr>
      </w:pPr>
    </w:p>
    <w:p w14:paraId="40C70F51" w14:textId="77777777" w:rsidR="00BA4D22" w:rsidRDefault="00000000">
      <w:pPr>
        <w:rPr>
          <w:rFonts w:ascii="Roboto" w:eastAsia="Roboto" w:hAnsi="Roboto" w:cs="Roboto"/>
          <w:b/>
          <w:color w:val="1C4587"/>
        </w:rPr>
      </w:pPr>
      <w:r>
        <w:rPr>
          <w:rFonts w:ascii="Roboto" w:eastAsia="Roboto" w:hAnsi="Roboto" w:cs="Roboto"/>
          <w:b/>
          <w:color w:val="1C4587"/>
        </w:rPr>
        <w:t>Disponibilidade de Dados de Pesquisa e outros Materiais</w:t>
      </w:r>
    </w:p>
    <w:p w14:paraId="2FA36FD1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As autorias são encorajadas a disponibilizar todos os conteúdos (dados, códigos de programas e outros materiais) subjacentes ao texto do artigo submetido, anteriormente ou no momento da publicação. Exceções são compreendidas em casos de questões legais e éticas. O objetivo é facilitar a avaliação do artigo submetido e, se aprovado, contribuir para a preservação e reuso dos conteúdos, bem como para a reprodutibilidade das pesquisas.</w:t>
      </w:r>
    </w:p>
    <w:p w14:paraId="2C057327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tbl>
      <w:tblPr>
        <w:tblStyle w:val="a0"/>
        <w:tblW w:w="96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8519"/>
      </w:tblGrid>
      <w:tr w:rsidR="00BA4D22" w14:paraId="1855ABB7" w14:textId="77777777">
        <w:trPr>
          <w:trHeight w:val="420"/>
        </w:trPr>
        <w:tc>
          <w:tcPr>
            <w:tcW w:w="9644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6AEB" w14:textId="77777777" w:rsidR="00BA4D22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Os conteúdos subjacentes ao texto do artigo submetido já estão disponíveis em sua totalidade e sem restrições ou assim estarão no momento da publicação?</w:t>
            </w:r>
          </w:p>
        </w:tc>
      </w:tr>
      <w:tr w:rsidR="00BA4D22" w14:paraId="3ED7BDF6" w14:textId="77777777">
        <w:trPr>
          <w:trHeight w:val="420"/>
        </w:trPr>
        <w:tc>
          <w:tcPr>
            <w:tcW w:w="11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94600" w14:textId="77777777" w:rsidR="00BA4D22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Sim</w:t>
            </w: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4285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os conteúdos subjacentes ao texto da pesquisa estão contidos no artigo submetido</w:t>
            </w:r>
          </w:p>
        </w:tc>
      </w:tr>
      <w:tr w:rsidR="00BA4D22" w14:paraId="4E59BB1A" w14:textId="77777777">
        <w:trPr>
          <w:trHeight w:val="420"/>
        </w:trPr>
        <w:tc>
          <w:tcPr>
            <w:tcW w:w="112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F5171" w14:textId="77777777" w:rsidR="00BA4D22" w:rsidRDefault="00BA4D22">
            <w:pPr>
              <w:widowControl w:val="0"/>
              <w:spacing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5C66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os conteúdos estarão disponíveis no momento da publicação do artigo</w:t>
            </w:r>
          </w:p>
        </w:tc>
      </w:tr>
      <w:tr w:rsidR="00BA4D22" w14:paraId="310CC691" w14:textId="77777777">
        <w:trPr>
          <w:trHeight w:val="420"/>
        </w:trPr>
        <w:tc>
          <w:tcPr>
            <w:tcW w:w="1125" w:type="dxa"/>
            <w:vMerge/>
            <w:tcBorders>
              <w:bottom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ACA2" w14:textId="77777777" w:rsidR="00BA4D22" w:rsidRDefault="00BA4D22">
            <w:pPr>
              <w:widowControl w:val="0"/>
              <w:spacing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ABB0A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os conteúdos já estão disponíveis</w:t>
            </w:r>
          </w:p>
          <w:p w14:paraId="60762F98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Segue títulos e respectivas URLs, números de acesso ou DOIs dos arquivos dos conteúdos subjacentes ao texto do artigo (use o espaço abaixo para inserir cada dado):</w:t>
            </w:r>
          </w:p>
        </w:tc>
      </w:tr>
      <w:tr w:rsidR="00BA4D22" w14:paraId="0316D9FB" w14:textId="77777777">
        <w:trPr>
          <w:trHeight w:val="1417"/>
        </w:trPr>
        <w:tc>
          <w:tcPr>
            <w:tcW w:w="1125" w:type="dxa"/>
            <w:tcBorders>
              <w:top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752D" w14:textId="77777777" w:rsidR="00BA4D22" w:rsidRDefault="00BA4D22">
            <w:pPr>
              <w:widowControl w:val="0"/>
              <w:spacing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2AA5" w14:textId="77777777" w:rsidR="00BA4D22" w:rsidRDefault="00BA4D22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A4D22" w14:paraId="092D4ADE" w14:textId="77777777">
        <w:trPr>
          <w:trHeight w:val="200"/>
        </w:trPr>
        <w:tc>
          <w:tcPr>
            <w:tcW w:w="11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2417" w14:textId="77777777" w:rsidR="00BA4D22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Não</w:t>
            </w: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38C9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dados estão disponíveis sob demanda da pessoas pareceristas</w:t>
            </w:r>
          </w:p>
        </w:tc>
      </w:tr>
      <w:tr w:rsidR="00BA4D22" w14:paraId="58B69FAD" w14:textId="77777777">
        <w:trPr>
          <w:trHeight w:val="200"/>
        </w:trPr>
        <w:tc>
          <w:tcPr>
            <w:tcW w:w="112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E3F1" w14:textId="77777777" w:rsidR="00BA4D22" w:rsidRDefault="00BA4D22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5E5B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após a publicação os dados estarão disponíveis sob demanda as autorias – condição foi justificada no artigo submetido</w:t>
            </w:r>
          </w:p>
        </w:tc>
      </w:tr>
      <w:tr w:rsidR="00BA4D22" w14:paraId="3EC2A186" w14:textId="77777777">
        <w:trPr>
          <w:trHeight w:val="200"/>
        </w:trPr>
        <w:tc>
          <w:tcPr>
            <w:tcW w:w="112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888C9" w14:textId="77777777" w:rsidR="00BA4D22" w:rsidRDefault="00BA4D22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7829" w14:textId="77777777" w:rsidR="00BA4D22" w:rsidRDefault="00000000">
            <w:pPr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   ) os dados não podem ser disponibilizados publicamente. Insira justificativa abaixo:</w:t>
            </w:r>
          </w:p>
        </w:tc>
      </w:tr>
      <w:tr w:rsidR="00BA4D22" w14:paraId="7D9E2A78" w14:textId="77777777">
        <w:trPr>
          <w:trHeight w:val="1417"/>
        </w:trPr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6958" w14:textId="77777777" w:rsidR="00BA4D22" w:rsidRDefault="00BA4D22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542BC" w14:textId="77777777" w:rsidR="00BA4D22" w:rsidRDefault="00BA4D22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37D02752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478133A7" w14:textId="77777777" w:rsidR="00BA4D22" w:rsidRDefault="00000000">
      <w:pPr>
        <w:jc w:val="both"/>
        <w:rPr>
          <w:rFonts w:ascii="Roboto" w:eastAsia="Roboto" w:hAnsi="Roboto" w:cs="Roboto"/>
          <w:b/>
          <w:color w:val="1C4587"/>
        </w:rPr>
      </w:pPr>
      <w:r>
        <w:rPr>
          <w:rFonts w:ascii="Roboto" w:eastAsia="Roboto" w:hAnsi="Roboto" w:cs="Roboto"/>
          <w:b/>
          <w:color w:val="1C4587"/>
        </w:rPr>
        <w:t>Transparência na avaliação por pares</w:t>
      </w:r>
    </w:p>
    <w:p w14:paraId="42A776B8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As autorias poderão optar por um ou mais meios de abertura do processo da revisão por pares (</w:t>
      </w:r>
      <w:r>
        <w:rPr>
          <w:rFonts w:ascii="Roboto" w:eastAsia="Roboto" w:hAnsi="Roboto" w:cs="Roboto"/>
          <w:i/>
          <w:sz w:val="21"/>
          <w:szCs w:val="21"/>
        </w:rPr>
        <w:t>peer review</w:t>
      </w:r>
      <w:r>
        <w:rPr>
          <w:rFonts w:ascii="Roboto" w:eastAsia="Roboto" w:hAnsi="Roboto" w:cs="Roboto"/>
          <w:sz w:val="21"/>
          <w:szCs w:val="21"/>
        </w:rPr>
        <w:t>) oferecidos pela RBSH:</w:t>
      </w:r>
    </w:p>
    <w:p w14:paraId="2D823DA6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7883C3BF" w14:textId="77777777" w:rsidR="00BA4D22" w:rsidRDefault="00000000">
      <w:pPr>
        <w:jc w:val="both"/>
        <w:rPr>
          <w:rFonts w:ascii="Roboto" w:eastAsia="Roboto" w:hAnsi="Roboto" w:cs="Roboto"/>
          <w:b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As autorias concordam com a publicação dos pareceres da avaliação de aprovação do artigo submetido?</w:t>
      </w:r>
    </w:p>
    <w:p w14:paraId="71F96A4C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0"/>
          <w:szCs w:val="20"/>
        </w:rPr>
        <w:t>(   )</w:t>
      </w:r>
      <w:r>
        <w:rPr>
          <w:rFonts w:ascii="Roboto" w:eastAsia="Roboto" w:hAnsi="Roboto" w:cs="Roboto"/>
          <w:sz w:val="21"/>
          <w:szCs w:val="21"/>
        </w:rPr>
        <w:tab/>
        <w:t>Sim</w:t>
      </w:r>
    </w:p>
    <w:p w14:paraId="086FE5D1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0"/>
          <w:szCs w:val="20"/>
        </w:rPr>
        <w:t>(   )</w:t>
      </w:r>
      <w:r>
        <w:rPr>
          <w:rFonts w:ascii="Roboto" w:eastAsia="Roboto" w:hAnsi="Roboto" w:cs="Roboto"/>
          <w:sz w:val="21"/>
          <w:szCs w:val="21"/>
        </w:rPr>
        <w:tab/>
        <w:t>Não</w:t>
      </w:r>
    </w:p>
    <w:p w14:paraId="47D02E4F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188D6D0F" w14:textId="77777777" w:rsidR="00BA4D22" w:rsidRDefault="00000000">
      <w:pPr>
        <w:jc w:val="both"/>
        <w:rPr>
          <w:rFonts w:ascii="Roboto" w:eastAsia="Roboto" w:hAnsi="Roboto" w:cs="Roboto"/>
          <w:b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 xml:space="preserve">As autorias concordam em interagir diretamente com as </w:t>
      </w:r>
      <w:r>
        <w:rPr>
          <w:rFonts w:ascii="Roboto" w:eastAsia="Roboto" w:hAnsi="Roboto" w:cs="Roboto"/>
          <w:b/>
          <w:sz w:val="20"/>
          <w:szCs w:val="20"/>
        </w:rPr>
        <w:t>pessoas pareceristas</w:t>
      </w:r>
      <w:r>
        <w:rPr>
          <w:rFonts w:ascii="Roboto" w:eastAsia="Roboto" w:hAnsi="Roboto" w:cs="Roboto"/>
          <w:b/>
          <w:sz w:val="21"/>
          <w:szCs w:val="21"/>
        </w:rPr>
        <w:t xml:space="preserve"> responsáveis pela avaliação do artigo submetido?</w:t>
      </w:r>
    </w:p>
    <w:p w14:paraId="049DA28F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0"/>
          <w:szCs w:val="20"/>
        </w:rPr>
        <w:t>(   )</w:t>
      </w:r>
      <w:r>
        <w:rPr>
          <w:rFonts w:ascii="Roboto" w:eastAsia="Roboto" w:hAnsi="Roboto" w:cs="Roboto"/>
          <w:sz w:val="21"/>
          <w:szCs w:val="21"/>
        </w:rPr>
        <w:tab/>
        <w:t>Sim</w:t>
      </w:r>
    </w:p>
    <w:p w14:paraId="2E71EDB7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0"/>
          <w:szCs w:val="20"/>
        </w:rPr>
        <w:t>(   )</w:t>
      </w:r>
      <w:r>
        <w:rPr>
          <w:rFonts w:ascii="Roboto" w:eastAsia="Roboto" w:hAnsi="Roboto" w:cs="Roboto"/>
          <w:sz w:val="21"/>
          <w:szCs w:val="21"/>
        </w:rPr>
        <w:tab/>
        <w:t>Não</w:t>
      </w:r>
    </w:p>
    <w:p w14:paraId="63B94DEF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56EFBC77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461DF79F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06B1792A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Nome do artigo submetido:</w:t>
      </w:r>
      <w:r>
        <w:rPr>
          <w:rFonts w:ascii="Roboto" w:eastAsia="Roboto" w:hAnsi="Roboto" w:cs="Roboto"/>
          <w:sz w:val="21"/>
          <w:szCs w:val="21"/>
        </w:rPr>
        <w:t xml:space="preserve"> </w:t>
      </w:r>
    </w:p>
    <w:p w14:paraId="6181F109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5108C9A0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592BD36B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015A96FA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0B5EA5E7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Nome da Autoria responsável pela submissão:</w:t>
      </w:r>
    </w:p>
    <w:p w14:paraId="490F416C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694D9B8B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61551AC8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18F14B17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7BDA826D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Assinatura do da Autoria responsável pela submissão:</w:t>
      </w:r>
    </w:p>
    <w:p w14:paraId="08CA7DF9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5B4F5BFF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Cidade:</w:t>
      </w:r>
      <w:r>
        <w:rPr>
          <w:rFonts w:ascii="Roboto" w:eastAsia="Roboto" w:hAnsi="Roboto" w:cs="Roboto"/>
          <w:sz w:val="21"/>
          <w:szCs w:val="21"/>
        </w:rPr>
        <w:t xml:space="preserve"> </w:t>
      </w:r>
    </w:p>
    <w:p w14:paraId="0E893BBA" w14:textId="77777777" w:rsidR="00BA4D22" w:rsidRDefault="00000000">
      <w:pPr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b/>
          <w:sz w:val="21"/>
          <w:szCs w:val="21"/>
        </w:rPr>
        <w:t>Data:</w:t>
      </w:r>
    </w:p>
    <w:p w14:paraId="41C50C3D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3F734671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p w14:paraId="4462456D" w14:textId="77777777" w:rsidR="00BA4D22" w:rsidRDefault="00BA4D22">
      <w:pPr>
        <w:jc w:val="both"/>
        <w:rPr>
          <w:rFonts w:ascii="Roboto" w:eastAsia="Roboto" w:hAnsi="Roboto" w:cs="Roboto"/>
          <w:sz w:val="21"/>
          <w:szCs w:val="21"/>
        </w:rPr>
      </w:pPr>
    </w:p>
    <w:sectPr w:rsidR="00BA4D22">
      <w:headerReference w:type="default" r:id="rId7"/>
      <w:footerReference w:type="default" r:id="rId8"/>
      <w:pgSz w:w="11909" w:h="16834"/>
      <w:pgMar w:top="566" w:right="1133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A57B" w14:textId="77777777" w:rsidR="00953484" w:rsidRDefault="00953484">
      <w:pPr>
        <w:spacing w:line="240" w:lineRule="auto"/>
      </w:pPr>
      <w:r>
        <w:separator/>
      </w:r>
    </w:p>
  </w:endnote>
  <w:endnote w:type="continuationSeparator" w:id="0">
    <w:p w14:paraId="4BAB2222" w14:textId="77777777" w:rsidR="00953484" w:rsidRDefault="00953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E69A57C-A007-4701-BBA2-DA7B1D60DAF4}"/>
    <w:embedBold r:id="rId2" w:fontKey="{0A32CE05-BAEB-40E6-9AE5-FD0964B69375}"/>
    <w:embedItalic r:id="rId3" w:fontKey="{E0620200-7F6F-41A7-BBF8-DC8CCAC5A0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BEF5DAE-36E3-479F-B13B-652018B66D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CF1282C-0801-4B65-9ED7-747CE51DB7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340F" w14:textId="77777777" w:rsidR="00BA4D22" w:rsidRDefault="00000000">
    <w:pPr>
      <w:spacing w:line="240" w:lineRule="auto"/>
      <w:rPr>
        <w:rFonts w:ascii="Roboto" w:eastAsia="Roboto" w:hAnsi="Roboto" w:cs="Roboto"/>
        <w:sz w:val="14"/>
        <w:szCs w:val="14"/>
      </w:rPr>
    </w:pPr>
    <w:r>
      <w:rPr>
        <w:rFonts w:ascii="Roboto" w:eastAsia="Roboto" w:hAnsi="Roboto" w:cs="Roboto"/>
        <w:sz w:val="14"/>
        <w:szCs w:val="14"/>
      </w:rPr>
      <w:t>Documento da RBSH desenvolvido baseado no Formulário sobre Conformidade com a Ciência Aberta da SciELO Brasil ver. 29 de junho de 2020</w:t>
    </w:r>
  </w:p>
  <w:p w14:paraId="6131DDD1" w14:textId="77777777" w:rsidR="00BA4D22" w:rsidRDefault="00000000">
    <w:pPr>
      <w:jc w:val="right"/>
      <w:rPr>
        <w:rFonts w:ascii="Roboto" w:eastAsia="Roboto" w:hAnsi="Roboto" w:cs="Roboto"/>
        <w:sz w:val="16"/>
        <w:szCs w:val="16"/>
      </w:rPr>
    </w:pPr>
    <w:r>
      <w:rPr>
        <w:rFonts w:ascii="Roboto" w:eastAsia="Roboto" w:hAnsi="Roboto" w:cs="Roboto"/>
        <w:sz w:val="16"/>
        <w:szCs w:val="16"/>
      </w:rPr>
      <w:fldChar w:fldCharType="begin"/>
    </w:r>
    <w:r>
      <w:rPr>
        <w:rFonts w:ascii="Roboto" w:eastAsia="Roboto" w:hAnsi="Roboto" w:cs="Roboto"/>
        <w:sz w:val="16"/>
        <w:szCs w:val="16"/>
      </w:rPr>
      <w:instrText>PAGE</w:instrText>
    </w:r>
    <w:r>
      <w:rPr>
        <w:rFonts w:ascii="Roboto" w:eastAsia="Roboto" w:hAnsi="Roboto" w:cs="Roboto"/>
        <w:sz w:val="16"/>
        <w:szCs w:val="16"/>
      </w:rPr>
      <w:fldChar w:fldCharType="separate"/>
    </w:r>
    <w:r w:rsidR="002447EE">
      <w:rPr>
        <w:rFonts w:ascii="Roboto" w:eastAsia="Roboto" w:hAnsi="Roboto" w:cs="Roboto"/>
        <w:noProof/>
        <w:sz w:val="16"/>
        <w:szCs w:val="16"/>
      </w:rPr>
      <w:t>1</w:t>
    </w:r>
    <w:r>
      <w:rPr>
        <w:rFonts w:ascii="Roboto" w:eastAsia="Roboto" w:hAnsi="Roboto" w:cs="Robo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699B" w14:textId="77777777" w:rsidR="00953484" w:rsidRDefault="00953484">
      <w:pPr>
        <w:spacing w:line="240" w:lineRule="auto"/>
      </w:pPr>
      <w:r>
        <w:separator/>
      </w:r>
    </w:p>
  </w:footnote>
  <w:footnote w:type="continuationSeparator" w:id="0">
    <w:p w14:paraId="7D39ECE9" w14:textId="77777777" w:rsidR="00953484" w:rsidRDefault="009534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E9D2" w14:textId="77777777" w:rsidR="00BA4D22" w:rsidRDefault="00BA4D22">
    <w:pPr>
      <w:rPr>
        <w:rFonts w:ascii="Roboto" w:eastAsia="Roboto" w:hAnsi="Roboto" w:cs="Roboto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D22"/>
    <w:rsid w:val="001B5C5E"/>
    <w:rsid w:val="002447EE"/>
    <w:rsid w:val="00953484"/>
    <w:rsid w:val="00B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8721"/>
  <w15:docId w15:val="{A663F2F4-D452-45B5-9992-F0E8A589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bsh.org.br/revista_sbrash/abou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Canosa</dc:creator>
  <cp:lastModifiedBy>Ana Canosa</cp:lastModifiedBy>
  <cp:revision>2</cp:revision>
  <dcterms:created xsi:type="dcterms:W3CDTF">2025-05-17T17:27:00Z</dcterms:created>
  <dcterms:modified xsi:type="dcterms:W3CDTF">2025-05-17T17:27:00Z</dcterms:modified>
</cp:coreProperties>
</file>